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72"/>
          <w:szCs w:val="72"/>
          <w:u w:val="single"/>
          <w:lang w:eastAsia="pl-PL"/>
        </w:rPr>
      </w:pPr>
      <w:r>
        <w:rPr>
          <w:rFonts w:eastAsia="Times New Roman" w:cs="Times New Roman" w:ascii="Times New Roman" w:hAnsi="Times New Roman"/>
          <w:sz w:val="72"/>
          <w:szCs w:val="72"/>
          <w:u w:val="single"/>
          <w:lang w:eastAsia="pl-PL"/>
        </w:rPr>
        <w:t>Regulamin Laboratorium Technik Diagnostycznych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72"/>
          <w:szCs w:val="72"/>
          <w:lang w:eastAsia="pl-PL"/>
        </w:rPr>
      </w:pPr>
      <w:r>
        <w:rPr>
          <w:rFonts w:eastAsia="Times New Roman" w:cs="Times New Roman" w:ascii="Times New Roman" w:hAnsi="Times New Roman"/>
          <w:sz w:val="72"/>
          <w:szCs w:val="72"/>
          <w:lang w:eastAsia="pl-PL"/>
        </w:rPr>
        <w:t>Niepaństwowej Wyższej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72"/>
          <w:szCs w:val="72"/>
          <w:lang w:eastAsia="pl-PL"/>
        </w:rPr>
      </w:pPr>
      <w:r>
        <w:rPr>
          <w:rFonts w:eastAsia="Times New Roman" w:cs="Times New Roman" w:ascii="Times New Roman" w:hAnsi="Times New Roman"/>
          <w:sz w:val="72"/>
          <w:szCs w:val="72"/>
          <w:lang w:eastAsia="pl-PL"/>
        </w:rPr>
        <w:t>Szkoły Pedagogicznej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72"/>
          <w:szCs w:val="72"/>
          <w:lang w:eastAsia="pl-PL"/>
        </w:rPr>
      </w:pPr>
      <w:r>
        <w:rPr>
          <w:rFonts w:eastAsia="Times New Roman" w:cs="Times New Roman" w:ascii="Times New Roman" w:hAnsi="Times New Roman"/>
          <w:sz w:val="72"/>
          <w:szCs w:val="72"/>
          <w:lang w:eastAsia="pl-PL"/>
        </w:rPr>
        <w:t>w Białymstoku</w:t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662305</wp:posOffset>
            </wp:positionH>
            <wp:positionV relativeFrom="margin">
              <wp:posOffset>3176905</wp:posOffset>
            </wp:positionV>
            <wp:extent cx="4724400" cy="4724400"/>
            <wp:effectExtent l="0" t="0" r="0" b="0"/>
            <wp:wrapSquare wrapText="bothSides"/>
            <wp:docPr id="1" name="Obraz 2" descr="wzor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wzor1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Arial" w:hAnsi="Arial" w:eastAsia="Times New Roman" w:cs="Arial"/>
          <w:sz w:val="40"/>
          <w:szCs w:val="40"/>
          <w:lang w:eastAsia="pl-PL"/>
        </w:rPr>
      </w:pPr>
      <w:r>
        <w:rPr>
          <w:rFonts w:eastAsia="Times New Roman" w:cs="Arial" w:ascii="Arial" w:hAnsi="Arial"/>
          <w:sz w:val="40"/>
          <w:szCs w:val="40"/>
          <w:lang w:eastAsia="pl-PL"/>
        </w:rPr>
      </w:r>
    </w:p>
    <w:p>
      <w:pPr>
        <w:pStyle w:val="Normal"/>
        <w:spacing w:lineRule="auto" w:line="254"/>
        <w:jc w:val="center"/>
        <w:rPr>
          <w:rFonts w:ascii="Times New Roman" w:hAnsi="Times New Roman" w:eastAsia="Times New Roman" w:cs="Times New Roman"/>
          <w:sz w:val="40"/>
          <w:szCs w:val="40"/>
          <w:lang w:eastAsia="pl-PL"/>
        </w:rPr>
      </w:pPr>
      <w:r>
        <w:rPr>
          <w:rFonts w:eastAsia="Times New Roman" w:cs="Times New Roman" w:ascii="Times New Roman" w:hAnsi="Times New Roman"/>
          <w:sz w:val="40"/>
          <w:szCs w:val="40"/>
          <w:lang w:eastAsia="pl-PL"/>
        </w:rPr>
        <w:t>Białystok 2019</w:t>
      </w:r>
    </w:p>
    <w:p>
      <w:pPr>
        <w:pStyle w:val="Normal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REGULAMIN LABORATORIUM TECHNIK DIAGNOSTYCZNYCH NWSP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W zasobach Laboratorium Technik Diagnostycznych NWSP znajdują się narzędzia diagnostyczne wydane przez Pracownię Testów Psychologicznych Polskiego Towarzystwa Psychologicznego: zbiór oryginalnych testów, książek z zakresu psychometrii, filmów, specjalistycznej literatury.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Ze zbiorów Laboratorium Technik Diagnostycznych NWSP mogą korzystać studenci kierunku Psychologia oraz pracownicy dydaktyczni NWSP, posiadający tytuł zawodowy co najmniej magistra psychologii. 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Student kierunku Psychologia może korzystać z testów na miejscu – </w:t>
        <w:br/>
        <w:t>w Czytelni NWSP w godzinach jej pracy. Na udostępnienie testu nie jest wymagana zgoda opiekuna naukowego.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Zbiory Laboratorium Technik Diagnostycznych NWSP nie są udostępniane pracownikom innych jednostek organizacyjnych NWSP oraz studentom i absolwentom innych kierunków studiów, czyli </w:t>
        <w:br/>
        <w:t xml:space="preserve">nie-psychologom (Ustawa z dnia 8 czerwca 2001 r. o zawodzie psychologa i samorządzie zawodowym psychologów; Dz. U. Nr 73, poz. 763.) </w:t>
        <w:br/>
        <w:t>z wyjątkiem osób spełniających wymagania Polskiego Towarzystwa Psychologicznego określone w Nowych Zasadach dostępu do testów psychologicznych [http://practest.com.pl/nowe-zasady-dostepu-do-testow-psychologicznych-0, dostęp 31.12.2018].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Ze względu na ochronę narzędzi diagnostycznych oraz w związku z ustawą o prawach autorskich, niedopuszczalne jest kopiowanie podręczników, arkuszy testowych i kluczy.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Materiały z Laboratorium Technik Diagnostycznych NWSP nie są wypożyczane na zewnątrz. Ze względu na małą liczbę egzemplarzy </w:t>
        <w:br/>
        <w:br/>
        <w:t xml:space="preserve">w stosunku do potrzeb dydaktycznych studentów i pracowników naukowo-dydaktycznych studenci NWSP kierunku Psychologia mogą korzystać z zasobów Laboratorium Technik Diagnostycznych NWSP </w:t>
      </w:r>
      <w:r>
        <w:rPr>
          <w:rFonts w:cs="Times New Roman" w:ascii="Times New Roman" w:hAnsi="Times New Roman"/>
          <w:sz w:val="28"/>
          <w:szCs w:val="28"/>
          <w:u w:val="single"/>
        </w:rPr>
        <w:t>wyłącznie na miejscu.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>Korzystający ze zbiorów mają obowiązek szanowania udostępnianych im materiałów i odpowiadają za wszelkie straty powstałe z ich winy.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>W razie zgubienia wypożyczonego egzemplarza lub jego zdekompletowaniu użytkownik jest zobowiązany do dostarczenia do Laboratorium Technik Diagnostycznych NWSP egzemplarza identycznego lub wpłaty jego równowartości na podstawie wyceny dokonanej przez pracownika biblioteki.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Dla potrzeb badań do pracy magisterskiej studenci IV i V roku psychologii mogą zakupić arkusze testowe w Pracowni Testów Psychologicznych </w:t>
        <w:br/>
        <w:t xml:space="preserve">w Warszawie na podstawie zaświadczenia od promotora pracy badawczej będącego pracownikiem Katedry Psychologii NWSP, z pieczątką uczelni. </w:t>
      </w:r>
    </w:p>
    <w:p>
      <w:pPr>
        <w:pStyle w:val="ListParagraph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Przed zakupem arkuszy konieczne jest wypełnienie formularza – zgody promotora na zakup i korzystanie z arkuszy testowych na potrzeby badań do pracy magisterskiej. Wzór dokumentu jest dostępny na stronie http://practest.com.pl.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W celu realizacji zadań wynikających z zajęć dydaktycznych studenci otrzymują arkusze testowe i dokonują interpretacji wyników podczas tych zajęć z pracownikiem Katedry Psychologii. Prowadzący zajęcia są odpowiedzialni za materiały, jakie są wypożyczane na czas zajęć.</w:t>
      </w:r>
    </w:p>
    <w:p>
      <w:pPr>
        <w:pStyle w:val="ListParagraph"/>
        <w:numPr>
          <w:ilvl w:val="0"/>
          <w:numId w:val="1"/>
        </w:numPr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Pierwsze skorzystanie ze zbiorów Laboratorium Technik Diagnostycznych NWSP jest równoznaczne z akceptacją niniejszego regulaminu.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Kategorie testów:</w:t>
      </w:r>
    </w:p>
    <w:p>
      <w:pPr>
        <w:pStyle w:val="Normal"/>
        <w:rPr>
          <w:rFonts w:ascii="Times New Roman" w:hAnsi="Times New Roman" w:eastAsia="Times New Roman" w:cs="Times New Roman"/>
          <w:sz w:val="25"/>
          <w:szCs w:val="25"/>
          <w:lang w:eastAsia="pl-PL"/>
        </w:rPr>
      </w:pPr>
      <w:r>
        <w:rPr>
          <w:rFonts w:cs="Times New Roman" w:ascii="Times New Roman" w:hAnsi="Times New Roman"/>
          <w:sz w:val="25"/>
          <w:szCs w:val="25"/>
        </w:rPr>
        <w:t xml:space="preserve">A psycholodzy lub osoby z tytułem </w:t>
      </w:r>
      <w:r>
        <w:rPr>
          <w:rFonts w:eastAsia="Times New Roman" w:cs="Times New Roman" w:ascii="Times New Roman" w:hAnsi="Times New Roman"/>
          <w:sz w:val="25"/>
          <w:szCs w:val="25"/>
          <w:lang w:eastAsia="pl-PL"/>
        </w:rPr>
        <w:t>magistra dowolnego kierunku oraz praca z ludźmi w obszarze zawodowym, który stanowi uzasadnienie dla wyboru i stosowania narzędzia</w:t>
      </w:r>
    </w:p>
    <w:p>
      <w:pPr>
        <w:pStyle w:val="Normal"/>
        <w:rPr>
          <w:rFonts w:ascii="Times New Roman" w:hAnsi="Times New Roman" w:eastAsia="Times New Roman" w:cs="Times New Roman"/>
          <w:sz w:val="25"/>
          <w:szCs w:val="25"/>
          <w:lang w:eastAsia="pl-PL"/>
        </w:rPr>
      </w:pPr>
      <w:r>
        <w:rPr>
          <w:rFonts w:cs="Times New Roman" w:ascii="Times New Roman" w:hAnsi="Times New Roman"/>
          <w:sz w:val="25"/>
          <w:szCs w:val="25"/>
        </w:rPr>
        <w:t xml:space="preserve">B1 psycholodzy lub osoby z tytułem </w:t>
      </w:r>
      <w:r>
        <w:rPr>
          <w:rFonts w:eastAsia="Times New Roman" w:cs="Times New Roman" w:ascii="Times New Roman" w:hAnsi="Times New Roman"/>
          <w:sz w:val="25"/>
          <w:szCs w:val="25"/>
          <w:lang w:eastAsia="pl-PL"/>
        </w:rPr>
        <w:t xml:space="preserve">magistra dowolnego kierunku </w:t>
      </w:r>
      <w:r>
        <w:rPr>
          <w:rFonts w:eastAsia="Times New Roman" w:cs="Times New Roman" w:ascii="Times New Roman" w:hAnsi="Times New Roman"/>
          <w:sz w:val="25"/>
          <w:szCs w:val="25"/>
          <w:u w:val="single"/>
          <w:lang w:eastAsia="pl-PL"/>
        </w:rPr>
        <w:t xml:space="preserve">+ szkolenie z psychometrii </w:t>
      </w:r>
      <w:r>
        <w:rPr>
          <w:rFonts w:eastAsia="Times New Roman" w:cs="Times New Roman" w:ascii="Times New Roman" w:hAnsi="Times New Roman"/>
          <w:sz w:val="25"/>
          <w:szCs w:val="25"/>
          <w:lang w:eastAsia="pl-PL"/>
        </w:rPr>
        <w:t>+ praca z ludźmi w obszarze zawodowym, który stanowi uzasadnienie dla wyboru i stosowania narzędzia</w:t>
      </w:r>
    </w:p>
    <w:p>
      <w:pPr>
        <w:pStyle w:val="Normal"/>
        <w:rPr>
          <w:rFonts w:ascii="Times New Roman" w:hAnsi="Times New Roman" w:eastAsia="Times New Roman" w:cs="Times New Roman"/>
          <w:sz w:val="25"/>
          <w:szCs w:val="25"/>
          <w:lang w:eastAsia="pl-PL"/>
        </w:rPr>
      </w:pPr>
      <w:r>
        <w:rPr>
          <w:rFonts w:cs="Times New Roman" w:ascii="Times New Roman" w:hAnsi="Times New Roman"/>
          <w:sz w:val="25"/>
          <w:szCs w:val="25"/>
        </w:rPr>
        <w:t xml:space="preserve">B2 psycholodzy lub osoby z tytułem </w:t>
      </w:r>
      <w:r>
        <w:rPr>
          <w:rFonts w:eastAsia="Times New Roman" w:cs="Times New Roman" w:ascii="Times New Roman" w:hAnsi="Times New Roman"/>
          <w:sz w:val="25"/>
          <w:szCs w:val="25"/>
          <w:lang w:eastAsia="pl-PL"/>
        </w:rPr>
        <w:t xml:space="preserve">magistra dowolnego kierunku </w:t>
      </w:r>
      <w:r>
        <w:rPr>
          <w:rFonts w:eastAsia="Times New Roman" w:cs="Times New Roman" w:ascii="Times New Roman" w:hAnsi="Times New Roman"/>
          <w:sz w:val="25"/>
          <w:szCs w:val="25"/>
          <w:u w:val="single"/>
          <w:lang w:eastAsia="pl-PL"/>
        </w:rPr>
        <w:t>+ szkolenie z psychometrii + szkolenie z konkretnego kursu</w:t>
      </w:r>
      <w:r>
        <w:rPr>
          <w:rFonts w:eastAsia="Times New Roman" w:cs="Times New Roman" w:ascii="Times New Roman" w:hAnsi="Times New Roman"/>
          <w:sz w:val="25"/>
          <w:szCs w:val="25"/>
          <w:lang w:eastAsia="pl-PL"/>
        </w:rPr>
        <w:t xml:space="preserve"> + praca z ludźmi w obszarze zawodowym, który stanowi uzasadnienie dla wyboru i stosowania narzędzia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C psycholodzy </w:t>
      </w:r>
    </w:p>
    <w:p>
      <w:pPr>
        <w:pStyle w:val="ListParagraph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Testy dostępne w Laboratorium Technik Diagnostycznych NWSP: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ACL (Lista Przymiotnikowa)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CAT (Test Apercepcji Tematycznej) C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CAT-A (Postaci Zwierząt)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CAT-H (Postaci Ludzkie)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4"/>
          <w:szCs w:val="24"/>
        </w:rPr>
        <w:t>CFT 20-R (Neutralny Kulturowe Test Inteligencji Cattella – wersja 2 zrewidowana przez R. H. Weiβa we współpracy z B.Weiβem)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CISS (Kwestionariusz Radzenia Sobie w Sytuacjach Stresowych)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CTT (Kolorowy Test Połączeń Wersja dla Dorosłych)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EPQ-R (Kwestionariusz Osobowości Eysencka) C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FCZ-KT (Formalna Charakterystyka Zachowania – Kwestionariusz Temperamentu </w:t>
        <w:br/>
        <w:t>w wersji zrewidowanej)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4"/>
          <w:szCs w:val="24"/>
        </w:rPr>
        <w:t>IAS Interpersonalne Skale Przymiotnikowe Jerry’ego S. Wigginsa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INTE (Kwestionariusz Inteligencji Emocjonalnej) B2  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IPP (Inwentarz do Oceny Płci Psychologicznej)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IVE (Kwestionariusz Impulsywności)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KKS (Kwestionariusz Kompetencji Społecznych) </w:t>
      </w:r>
    </w:p>
    <w:p>
      <w:pPr>
        <w:pStyle w:val="ListParagraph"/>
        <w:spacing w:lineRule="auto" w:line="360"/>
        <w:ind w:left="360" w:hanging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  </w:t>
      </w:r>
      <w:r>
        <w:rPr>
          <w:rFonts w:cs="Times New Roman" w:ascii="Times New Roman" w:hAnsi="Times New Roman"/>
          <w:sz w:val="25"/>
          <w:szCs w:val="25"/>
        </w:rPr>
        <w:t>B [psycholodzy, po szkoleniu: doradcy zawodowi i pracownicy HR]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KPR-Roc (Kwestionariusz Retrospektywnej Oceny Rodziców [psycholodzy]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KSP (Kwestionariusz Stylów Przywiązaniowych) [psycholodzy]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KPŻ (Kwestionariusz Postaw Życiowych) B1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LBQ (Kwestionariusz Wypalenia Zawodowego) B2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LMI (Inwentarz Motywacji Osiągnięć) B2 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MSEI (Wielowymiarowy Kwestionariusz Samooceny)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NEO-FFI (Inwentarz Osobowości NEO-FFI) C 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NPPZ (Narzędzia Pomiaru w Psychologii Zdrowia)</w:t>
      </w:r>
    </w:p>
    <w:p>
      <w:pPr>
        <w:pStyle w:val="ListParagraph"/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 </w:t>
      </w:r>
      <w:r>
        <w:rPr>
          <w:rFonts w:cs="Times New Roman" w:ascii="Times New Roman" w:hAnsi="Times New Roman"/>
          <w:sz w:val="25"/>
          <w:szCs w:val="25"/>
        </w:rPr>
        <w:t>A [lekarze, socjolodzy, pedagodzy, psychoterapeuci, promotorzy zdrowia]: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GSES (Skala Uogólnionej Własnej Skuteczności) 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MHLC – wersja B (Wielowymiarowa Skala Umiejscowienia Kontroli Zdrowia)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Mini-MAC (Skala Przystosowania Psychicznego do Choroby Nowotworowej)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SEG (Skala Ekspresji Gniewu)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IZZ (Inwentarz Zachowań Zdrowotnych)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LWO (Lista Wartości Osobistych)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SWLS (Skala Satysfakcji z Życia)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Skala KompOs (Skala Kompetencji Osobistych) 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CSQ (Kwestionariusz Strategii Radzenia Sobie z Bólem)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Typ A – Framingham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TAB (Skala Typu A/B – wersja DM)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PRF (Lista Oczekiwań Pacjenta)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BPCQ (Kwestionariusz Przekonań na Temat Kontroli Bólu)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cs="Times New Roman" w:ascii="Times New Roman" w:hAnsi="Times New Roman"/>
          <w:sz w:val="25"/>
          <w:szCs w:val="25"/>
          <w:lang w:val="en-US"/>
        </w:rPr>
        <w:t>LOT-R (Test Orientacji Życiowej)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AIS (Skala Akceptacji Choroby) 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LKZ (Lista Kryteriów Zdrowia)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MHLC – wersja A (Wielowymiarowa Skala Umiejscowienia Kontroli Zdrowia)</w:t>
      </w:r>
    </w:p>
    <w:p>
      <w:pPr>
        <w:pStyle w:val="ListParagraph"/>
        <w:numPr>
          <w:ilvl w:val="0"/>
          <w:numId w:val="3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cs="Times New Roman" w:ascii="Times New Roman" w:hAnsi="Times New Roman"/>
          <w:sz w:val="25"/>
          <w:szCs w:val="25"/>
          <w:lang w:val="en-US"/>
        </w:rPr>
        <w:t>CESC (Skala Kontroli Emocji)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NPSR (Narzędzia Pomiaru Stresu i Radzenia Sobie ze Stresem) A</w:t>
      </w:r>
    </w:p>
    <w:p>
      <w:pPr>
        <w:pStyle w:val="ListParagraph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PSS 10 (Skala Odczuwania Stresu)</w:t>
      </w:r>
    </w:p>
    <w:p>
      <w:pPr>
        <w:pStyle w:val="ListParagraph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Skala JSR (Skala Jak Sobie Radzisz?)</w:t>
      </w:r>
    </w:p>
    <w:p>
      <w:pPr>
        <w:pStyle w:val="ListParagraph"/>
        <w:numPr>
          <w:ilvl w:val="0"/>
          <w:numId w:val="5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DS-14 (Skala do Pomiaru Typu D)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RISB (Test Niedokończonych Zdań Rottera)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RFFT (Test Płynności Figuralnej Ruffa)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4"/>
          <w:szCs w:val="24"/>
        </w:rPr>
        <w:t>RHLB-PL (Bateria Testów do Badania Funkcji Językowych i Komunikacyjnych Prawej Półkuli Mózgu) B2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SCID-II (Ustrukturalizowany Wywiad Kliniczny do Badania Zaburzeń Osobowości z Osi II DSM-IV) </w:t>
      </w:r>
      <w:r>
        <w:rPr>
          <w:rFonts w:cs="Times New Roman" w:ascii="Times New Roman" w:hAnsi="Times New Roman"/>
          <w:sz w:val="25"/>
          <w:szCs w:val="25"/>
        </w:rPr>
        <w:t>A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SPR (Skala Postaw Rodzicielskich) </w:t>
      </w:r>
      <w:r>
        <w:rPr>
          <w:rFonts w:cs="Times New Roman" w:ascii="Times New Roman" w:hAnsi="Times New Roman"/>
          <w:sz w:val="25"/>
          <w:szCs w:val="25"/>
        </w:rPr>
        <w:t>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STAI (Inwentarz Stanu i Cechy Lęku)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TAT (Test Apercepcji Tematycznej)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TIS (Bateria Testów TIS)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TKR (Test Kompetencji Rodzicielskich) B2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TMK (Test Matryc Ravena w wersji kolorowej)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WAIS-R </w:t>
        <w:tab/>
        <w:t>(Skala Inteligencji Wechslera dla Dorosłych – wersja zrewidowana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WISC-R </w:t>
        <w:tab/>
        <w:t>(Skala Inteligencji Wechslera dla Dzieci – wersja zmodyfikowana)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WCTS (Test Sortowania Kart z Wisconsin)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>SES  (Skala Samooceny Rosenberga)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>PTS  (Kwestionariusz Temperamentu)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>MMPI-2  (Minnesocki Wielowymiarowy Inwentarz Osobowości-2) C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>KNS  (Kwestionariusz Nadziei na Sukces) C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 xml:space="preserve">KKM ( Kwestionariusz Komunikacji Małżeńskiej) </w:t>
      </w:r>
      <w:r>
        <w:rPr>
          <w:rFonts w:cs="Times New Roman" w:ascii="Times New Roman" w:hAnsi="Times New Roman"/>
          <w:sz w:val="25"/>
          <w:szCs w:val="24"/>
        </w:rPr>
        <w:t>C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 xml:space="preserve">WERK (Inwentarz Stylów Kierowania Ludźmi) </w:t>
      </w:r>
      <w:r>
        <w:rPr>
          <w:rFonts w:cs="Times New Roman" w:ascii="Times New Roman" w:hAnsi="Times New Roman"/>
          <w:sz w:val="25"/>
          <w:szCs w:val="24"/>
        </w:rPr>
        <w:t>B2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 xml:space="preserve">STAIC (Inwentarz Stanu i Cechy Lęku dla Dzieci) </w:t>
      </w:r>
      <w:r>
        <w:rPr>
          <w:rFonts w:cs="Times New Roman" w:ascii="Times New Roman" w:hAnsi="Times New Roman"/>
          <w:sz w:val="25"/>
          <w:szCs w:val="24"/>
        </w:rPr>
        <w:t>C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>KAM-RE ( Kwestionariusz Agresywności Młodzieży – Reaktywność emocjonalna)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 xml:space="preserve">KRR (Kwestionariusz Relacji Rodzinnych) </w:t>
      </w:r>
      <w:r>
        <w:rPr>
          <w:rFonts w:cs="Times New Roman" w:ascii="Times New Roman" w:hAnsi="Times New Roman"/>
          <w:sz w:val="25"/>
          <w:szCs w:val="24"/>
        </w:rPr>
        <w:t>C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cs="Times New Roman" w:ascii="Times New Roman" w:hAnsi="Times New Roman"/>
          <w:sz w:val="25"/>
          <w:szCs w:val="24"/>
        </w:rPr>
        <w:t>LMI-K (</w:t>
      </w:r>
      <w:r>
        <w:rPr>
          <w:rFonts w:cs="Times New Roman" w:ascii="Times New Roman" w:hAnsi="Times New Roman"/>
          <w:sz w:val="25"/>
          <w:szCs w:val="25"/>
        </w:rPr>
        <w:t xml:space="preserve">Inwentarz Motywacji Osiągnięć – wersja skrócona) </w:t>
      </w:r>
      <w:r>
        <w:rPr>
          <w:rFonts w:cs="Times New Roman" w:ascii="Times New Roman" w:hAnsi="Times New Roman"/>
          <w:sz w:val="25"/>
          <w:szCs w:val="25"/>
        </w:rPr>
        <w:t>B2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bookmarkStart w:id="0" w:name="_GoBack_kopia_1"/>
      <w:bookmarkEnd w:id="0"/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 xml:space="preserve">KMC (Kwestionariusz Metafory Czasu) </w:t>
      </w: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>A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 xml:space="preserve">BHI-12 (Kwestionariusz Nadziei Podstawowej) </w:t>
      </w: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>A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 xml:space="preserve">KPD (Kwestionariusz do Pomiaru Depresji) </w:t>
      </w: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>C</w:t>
      </w:r>
    </w:p>
    <w:p>
      <w:pPr>
        <w:pStyle w:val="ListParagraph"/>
        <w:numPr>
          <w:ilvl w:val="0"/>
          <w:numId w:val="2"/>
        </w:numPr>
        <w:spacing w:lineRule="auto" w:line="360"/>
        <w:ind w:left="357" w:hanging="357"/>
        <w:jc w:val="both"/>
        <w:rPr>
          <w:rFonts w:ascii="Times New Roman" w:hAnsi="Times New Roman" w:eastAsia="Times New Roman" w:cs="Times New Roman"/>
          <w:sz w:val="25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 xml:space="preserve">TRE (Test Rozumienia Emocji) </w:t>
      </w:r>
      <w:r>
        <w:rPr>
          <w:rFonts w:eastAsia="Times New Roman" w:cs="Times New Roman" w:ascii="Times New Roman" w:hAnsi="Times New Roman"/>
          <w:sz w:val="25"/>
          <w:szCs w:val="24"/>
          <w:lang w:eastAsia="pl-PL"/>
        </w:rPr>
        <w:t>B2</w:t>
      </w:r>
    </w:p>
    <w:p>
      <w:pPr>
        <w:pStyle w:val="ListParagraph"/>
        <w:numPr>
          <w:ilvl w:val="0"/>
          <w:numId w:val="0"/>
        </w:numPr>
        <w:spacing w:lineRule="auto" w:line="360"/>
        <w:ind w:left="357" w:hanging="0"/>
        <w:jc w:val="both"/>
        <w:rPr>
          <w:rFonts w:ascii="Times New Roman" w:hAnsi="Times New Roman" w:cs="Times New Roman"/>
          <w:sz w:val="25"/>
          <w:szCs w:val="24"/>
        </w:rPr>
      </w:pPr>
      <w:r>
        <w:rPr>
          <w:rFonts w:cs="Times New Roman" w:ascii="Times New Roman" w:hAnsi="Times New Roman"/>
          <w:sz w:val="25"/>
          <w:szCs w:val="24"/>
        </w:rPr>
      </w:r>
      <w:bookmarkStart w:id="1" w:name="_GoBack"/>
      <w:bookmarkStart w:id="2" w:name="_GoBack"/>
      <w:bookmarkEnd w:id="2"/>
    </w:p>
    <w:p>
      <w:pPr>
        <w:pStyle w:val="ListParagraph"/>
        <w:spacing w:lineRule="auto" w:line="360"/>
        <w:ind w:left="357" w:hanging="357"/>
        <w:jc w:val="both"/>
        <w:rPr>
          <w:rFonts w:ascii="Times New Roman" w:hAnsi="Times New Roman" w:cs="Times New Roman"/>
          <w:sz w:val="25"/>
          <w:szCs w:val="24"/>
        </w:rPr>
      </w:pPr>
      <w:r>
        <w:rPr>
          <w:rFonts w:cs="Times New Roman" w:ascii="Times New Roman" w:hAnsi="Times New Roman"/>
          <w:sz w:val="25"/>
          <w:szCs w:val="24"/>
        </w:rPr>
      </w:r>
    </w:p>
    <w:p>
      <w:pPr>
        <w:pStyle w:val="Normal"/>
        <w:spacing w:lineRule="auto" w:line="360" w:before="0" w:after="160"/>
        <w:jc w:val="both"/>
        <w:rPr>
          <w:rFonts w:ascii="Times New Roman" w:hAnsi="Times New Roman" w:cs="Times New Roman"/>
          <w:sz w:val="25"/>
          <w:szCs w:val="25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3877d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2947e6"/>
    <w:rPr>
      <w:sz w:val="20"/>
      <w:szCs w:val="20"/>
    </w:rPr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2947e6"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8084c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uiPriority w:val="9"/>
    <w:qFormat/>
    <w:rsid w:val="003877d1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947e6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2947e6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8084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Application>LibreOffice/7.5.0.3$Windows_X86_64 LibreOffice_project/c21113d003cd3efa8c53188764377a8272d9d6de</Application>
  <AppVersion>15.0000</AppVersion>
  <Pages>8</Pages>
  <Words>1009</Words>
  <Characters>6597</Characters>
  <CharactersWithSpaces>7468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2018-12-14T09:04:00Z</dcterms:created>
  <dc:creator>Magdalena</dc:creator>
  <dc:description/>
  <dc:language>pl-PL</dc:language>
  <cp:lastModifiedBy/>
  <cp:lastPrinted>2020-01-15T13:55:00Z</cp:lastPrinted>
  <dcterms:modified xsi:type="dcterms:W3CDTF">2023-03-24T11:12:29Z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